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4B39C" w14:textId="37BAF42B" w:rsidR="00EE25E8" w:rsidRPr="00EE25E8" w:rsidRDefault="00EE25E8" w:rsidP="00EE25E8">
      <w:pPr>
        <w:rPr>
          <w:rFonts w:ascii="Times New Roman" w:hAnsi="Times New Roman" w:cs="Times New Roman"/>
          <w:b/>
          <w:bCs/>
        </w:rPr>
      </w:pPr>
      <w:r w:rsidRPr="00EE25E8">
        <w:rPr>
          <w:rFonts w:ascii="Times New Roman" w:hAnsi="Times New Roman" w:cs="Times New Roman"/>
          <w:b/>
          <w:bCs/>
        </w:rPr>
        <w:t>Abstract</w:t>
      </w:r>
    </w:p>
    <w:p w14:paraId="7F7AA1F5" w14:textId="77777777" w:rsidR="00EE25E8" w:rsidRDefault="00EE25E8" w:rsidP="00EE25E8">
      <w:pPr>
        <w:rPr>
          <w:rFonts w:ascii="Times New Roman" w:hAnsi="Times New Roman" w:cs="Times New Roman"/>
          <w:b/>
          <w:bCs/>
        </w:rPr>
      </w:pPr>
      <w:r w:rsidRPr="00EE25E8">
        <w:rPr>
          <w:rFonts w:ascii="Times New Roman" w:hAnsi="Times New Roman" w:cs="Times New Roman"/>
          <w:b/>
          <w:bCs/>
        </w:rPr>
        <w:t>Title:</w:t>
      </w:r>
    </w:p>
    <w:p w14:paraId="2A0B5332" w14:textId="7FFF4803" w:rsidR="00EE25E8" w:rsidRPr="00EE25E8" w:rsidRDefault="00EE25E8" w:rsidP="00EE25E8">
      <w:pPr>
        <w:rPr>
          <w:rFonts w:ascii="Times New Roman" w:hAnsi="Times New Roman" w:cs="Times New Roman"/>
        </w:rPr>
      </w:pPr>
      <w:r w:rsidRPr="00EE25E8">
        <w:rPr>
          <w:rFonts w:ascii="Times New Roman" w:hAnsi="Times New Roman" w:cs="Times New Roman"/>
          <w:b/>
          <w:bCs/>
        </w:rPr>
        <w:t>Utility of SPECT for Diagnosis and Treatment of Lower Extremity Lymphedema</w:t>
      </w:r>
    </w:p>
    <w:p w14:paraId="1C2EAA1B" w14:textId="77777777" w:rsidR="00EE25E8" w:rsidRDefault="00EE25E8" w:rsidP="00EE25E8">
      <w:pPr>
        <w:rPr>
          <w:rFonts w:ascii="Times New Roman" w:hAnsi="Times New Roman" w:cs="Times New Roman"/>
          <w:b/>
          <w:bCs/>
        </w:rPr>
      </w:pPr>
    </w:p>
    <w:p w14:paraId="0F8371BE" w14:textId="1EA43269" w:rsidR="00EE25E8" w:rsidRPr="00EE25E8" w:rsidRDefault="00EE25E8" w:rsidP="00EE25E8">
      <w:pPr>
        <w:rPr>
          <w:rFonts w:ascii="Times New Roman" w:hAnsi="Times New Roman" w:cs="Times New Roman"/>
        </w:rPr>
      </w:pPr>
      <w:r w:rsidRPr="00EE25E8">
        <w:rPr>
          <w:rFonts w:ascii="Times New Roman" w:hAnsi="Times New Roman" w:cs="Times New Roman"/>
          <w:b/>
          <w:bCs/>
        </w:rPr>
        <w:t>Background:</w:t>
      </w:r>
      <w:r w:rsidRPr="00EE25E8">
        <w:rPr>
          <w:rFonts w:ascii="Times New Roman" w:hAnsi="Times New Roman" w:cs="Times New Roman"/>
        </w:rPr>
        <w:br/>
        <w:t xml:space="preserve">Accurate assessment of lymphatic dysfunction is essential for </w:t>
      </w:r>
      <w:r>
        <w:rPr>
          <w:rFonts w:ascii="Times New Roman" w:hAnsi="Times New Roman" w:cs="Times New Roman"/>
        </w:rPr>
        <w:t>diagnosing and managing</w:t>
      </w:r>
      <w:r w:rsidRPr="00EE25E8">
        <w:rPr>
          <w:rFonts w:ascii="Times New Roman" w:hAnsi="Times New Roman" w:cs="Times New Roman"/>
        </w:rPr>
        <w:t xml:space="preserve"> lower extremity lymphedema</w:t>
      </w:r>
      <w:r>
        <w:rPr>
          <w:rFonts w:ascii="Times New Roman" w:hAnsi="Times New Roman" w:cs="Times New Roman" w:hint="eastAsia"/>
        </w:rPr>
        <w:t xml:space="preserve"> (LEL)</w:t>
      </w:r>
      <w:r w:rsidRPr="00EE25E8">
        <w:rPr>
          <w:rFonts w:ascii="Times New Roman" w:hAnsi="Times New Roman" w:cs="Times New Roman"/>
        </w:rPr>
        <w:t>. Conventional lymphoscintigraphy provides valuable information on lymphatic transport and dermal backflow</w:t>
      </w:r>
      <w:r>
        <w:rPr>
          <w:rFonts w:ascii="Times New Roman" w:hAnsi="Times New Roman" w:cs="Times New Roman" w:hint="eastAsia"/>
        </w:rPr>
        <w:t>.</w:t>
      </w:r>
      <w:r w:rsidRPr="00EE25E8">
        <w:rPr>
          <w:rFonts w:ascii="Times New Roman" w:hAnsi="Times New Roman" w:cs="Times New Roman"/>
        </w:rPr>
        <w:t xml:space="preserve"> </w:t>
      </w:r>
      <w:r>
        <w:rPr>
          <w:rFonts w:ascii="Times New Roman" w:hAnsi="Times New Roman" w:cs="Times New Roman" w:hint="eastAsia"/>
        </w:rPr>
        <w:t>H</w:t>
      </w:r>
      <w:r w:rsidRPr="00EE25E8">
        <w:rPr>
          <w:rFonts w:ascii="Times New Roman" w:hAnsi="Times New Roman" w:cs="Times New Roman"/>
        </w:rPr>
        <w:t>owever, planar images have limited anatomical resolution and are primarily used for qualitative assessment. Single-photon emission computed tomography/computed tomography (SPECT/CT) provides three-dimensional functional and anatomical information and may offer additional insights into the distribution and severity of lymphatic dysfunction. Furthermore, quantitative analysis using standardized uptake value (SUV) may enable objective assessment of lymphatic function.</w:t>
      </w:r>
    </w:p>
    <w:p w14:paraId="40AF51ED" w14:textId="6DC27399" w:rsidR="00EE25E8" w:rsidRPr="00EE25E8" w:rsidRDefault="00EE25E8" w:rsidP="00EE25E8">
      <w:pPr>
        <w:rPr>
          <w:rFonts w:ascii="Times New Roman" w:hAnsi="Times New Roman" w:cs="Times New Roman"/>
        </w:rPr>
      </w:pPr>
      <w:r w:rsidRPr="00EE25E8">
        <w:rPr>
          <w:rFonts w:ascii="Times New Roman" w:hAnsi="Times New Roman" w:cs="Times New Roman"/>
          <w:b/>
          <w:bCs/>
        </w:rPr>
        <w:t>Methods:</w:t>
      </w:r>
      <w:r w:rsidRPr="00EE25E8">
        <w:rPr>
          <w:rFonts w:ascii="Times New Roman" w:hAnsi="Times New Roman" w:cs="Times New Roman"/>
        </w:rPr>
        <w:br/>
        <w:t xml:space="preserve">We reviewed the clinical utility of SPECT/CT for the diagnosis, staging, and treatment assessment of lower extremity lymphedema, with a particular focus on quantitative evaluation. In our study, </w:t>
      </w:r>
      <w:r>
        <w:rPr>
          <w:rFonts w:ascii="Times New Roman" w:hAnsi="Times New Roman" w:cs="Times New Roman" w:hint="eastAsia"/>
        </w:rPr>
        <w:t>90</w:t>
      </w:r>
      <w:r w:rsidRPr="00EE25E8">
        <w:rPr>
          <w:rFonts w:ascii="Times New Roman" w:hAnsi="Times New Roman" w:cs="Times New Roman"/>
        </w:rPr>
        <w:t xml:space="preserve"> patients with secondary </w:t>
      </w:r>
      <w:r>
        <w:rPr>
          <w:rFonts w:ascii="Times New Roman" w:hAnsi="Times New Roman" w:cs="Times New Roman" w:hint="eastAsia"/>
        </w:rPr>
        <w:t>LEL</w:t>
      </w:r>
      <w:r w:rsidRPr="00EE25E8">
        <w:rPr>
          <w:rFonts w:ascii="Times New Roman" w:hAnsi="Times New Roman" w:cs="Times New Roman"/>
        </w:rPr>
        <w:t xml:space="preserve"> (</w:t>
      </w:r>
      <w:r>
        <w:rPr>
          <w:rFonts w:ascii="Times New Roman" w:hAnsi="Times New Roman" w:cs="Times New Roman" w:hint="eastAsia"/>
        </w:rPr>
        <w:t>180</w:t>
      </w:r>
      <w:r w:rsidRPr="00EE25E8">
        <w:rPr>
          <w:rFonts w:ascii="Times New Roman" w:hAnsi="Times New Roman" w:cs="Times New Roman"/>
        </w:rPr>
        <w:t xml:space="preserve"> limbs) underwent lymphoscintigraphy and SPECT/CT. Affected and normal limbs were compared using SUVmax measured at the inguinal lymph node region. The relationship between quantitative SPECT findings and</w:t>
      </w:r>
      <w:r>
        <w:rPr>
          <w:rFonts w:ascii="Times New Roman" w:hAnsi="Times New Roman" w:cs="Times New Roman" w:hint="eastAsia"/>
        </w:rPr>
        <w:t xml:space="preserve"> </w:t>
      </w:r>
      <w:r w:rsidRPr="00EE25E8">
        <w:rPr>
          <w:rFonts w:ascii="Times New Roman" w:hAnsi="Times New Roman" w:cs="Times New Roman"/>
        </w:rPr>
        <w:t>lymphoscintigraphic severity was also investigated.</w:t>
      </w:r>
    </w:p>
    <w:p w14:paraId="20E6CB04" w14:textId="5E12F88D" w:rsidR="00EE25E8" w:rsidRPr="00EE25E8" w:rsidRDefault="00EE25E8" w:rsidP="00EE25E8">
      <w:pPr>
        <w:rPr>
          <w:rFonts w:ascii="Times New Roman" w:hAnsi="Times New Roman" w:cs="Times New Roman"/>
        </w:rPr>
      </w:pPr>
      <w:r w:rsidRPr="00EE25E8">
        <w:rPr>
          <w:rFonts w:ascii="Times New Roman" w:hAnsi="Times New Roman" w:cs="Times New Roman"/>
          <w:b/>
          <w:bCs/>
        </w:rPr>
        <w:t>Results:</w:t>
      </w:r>
      <w:r w:rsidRPr="00EE25E8">
        <w:rPr>
          <w:rFonts w:ascii="Times New Roman" w:hAnsi="Times New Roman" w:cs="Times New Roman"/>
        </w:rPr>
        <w:br/>
        <w:t>SPECT/CT provided additional anatomical information to conventional lymphoscintigraphy, allowing more precise localization of tracer accumulation, lymph nodes, and dermal backflow. In our quantitative study, SUV</w:t>
      </w:r>
      <w:r>
        <w:rPr>
          <w:rFonts w:ascii="Times New Roman" w:hAnsi="Times New Roman" w:cs="Times New Roman" w:hint="eastAsia"/>
        </w:rPr>
        <w:t xml:space="preserve"> </w:t>
      </w:r>
      <w:r w:rsidRPr="00EE25E8">
        <w:rPr>
          <w:rFonts w:ascii="Times New Roman" w:hAnsi="Times New Roman" w:cs="Times New Roman"/>
        </w:rPr>
        <w:t>at the inguinal region differed significantly between affected and normal limbs, with lower tracer accumulation observed in affected limbs. These findings suggest that quantitative SPECT may reflect impaired lymphatic transport and provide objective information beyond visual assessment. Furthermore, quantitative SPECT may have potential for characterizing the severity of lymphatic dysfunction and monitoring changes following treatment.</w:t>
      </w:r>
    </w:p>
    <w:p w14:paraId="7D1D1D4A" w14:textId="2C7E9CDA" w:rsidR="00934B87" w:rsidRPr="00EE25E8" w:rsidRDefault="00EE25E8">
      <w:pPr>
        <w:rPr>
          <w:rFonts w:ascii="Times New Roman" w:hAnsi="Times New Roman" w:cs="Times New Roman"/>
        </w:rPr>
      </w:pPr>
      <w:r w:rsidRPr="00EE25E8">
        <w:rPr>
          <w:rFonts w:ascii="Times New Roman" w:hAnsi="Times New Roman" w:cs="Times New Roman"/>
          <w:b/>
          <w:bCs/>
        </w:rPr>
        <w:t>Conclusion:</w:t>
      </w:r>
      <w:r w:rsidRPr="00EE25E8">
        <w:rPr>
          <w:rFonts w:ascii="Times New Roman" w:hAnsi="Times New Roman" w:cs="Times New Roman"/>
        </w:rPr>
        <w:br/>
        <w:t xml:space="preserve">SPECT/CT is a useful imaging modality that combines functional and anatomical information </w:t>
      </w:r>
      <w:r w:rsidRPr="00EE25E8">
        <w:rPr>
          <w:rFonts w:ascii="Times New Roman" w:hAnsi="Times New Roman" w:cs="Times New Roman"/>
        </w:rPr>
        <w:lastRenderedPageBreak/>
        <w:t xml:space="preserve">for the evaluation of </w:t>
      </w:r>
      <w:r>
        <w:rPr>
          <w:rFonts w:ascii="Times New Roman" w:hAnsi="Times New Roman" w:cs="Times New Roman" w:hint="eastAsia"/>
        </w:rPr>
        <w:t>LEL</w:t>
      </w:r>
      <w:r w:rsidRPr="00EE25E8">
        <w:rPr>
          <w:rFonts w:ascii="Times New Roman" w:hAnsi="Times New Roman" w:cs="Times New Roman"/>
        </w:rPr>
        <w:t>. Quantitative assessment using SUV may further enhance its clinical utility by providing an objective measure of lymphatic dysfunction. SPECT may therefore contribute not only to diagnosis, but also to treatment planning and objective evaluation of treatment response</w:t>
      </w:r>
      <w:r>
        <w:rPr>
          <w:rFonts w:ascii="Times New Roman" w:hAnsi="Times New Roman" w:cs="Times New Roman" w:hint="eastAsia"/>
        </w:rPr>
        <w:t>.</w:t>
      </w:r>
    </w:p>
    <w:sectPr w:rsidR="00934B87" w:rsidRPr="00EE25E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E8"/>
    <w:rsid w:val="000E47E2"/>
    <w:rsid w:val="00361037"/>
    <w:rsid w:val="00643D8C"/>
    <w:rsid w:val="00934B87"/>
    <w:rsid w:val="00EC1C7D"/>
    <w:rsid w:val="00EE2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E49992"/>
  <w15:chartTrackingRefBased/>
  <w15:docId w15:val="{5A4487E3-09AE-4461-AFF8-24FC3F0B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E25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25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25E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E25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E25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E25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E25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E25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E25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E25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25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25E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E25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25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25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25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25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25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E25E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E25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25E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E25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25E8"/>
    <w:pPr>
      <w:spacing w:before="160"/>
      <w:jc w:val="center"/>
    </w:pPr>
    <w:rPr>
      <w:i/>
      <w:iCs/>
      <w:color w:val="404040" w:themeColor="text1" w:themeTint="BF"/>
    </w:rPr>
  </w:style>
  <w:style w:type="character" w:customStyle="1" w:styleId="a8">
    <w:name w:val="引用文 (文字)"/>
    <w:basedOn w:val="a0"/>
    <w:link w:val="a7"/>
    <w:uiPriority w:val="29"/>
    <w:rsid w:val="00EE25E8"/>
    <w:rPr>
      <w:i/>
      <w:iCs/>
      <w:color w:val="404040" w:themeColor="text1" w:themeTint="BF"/>
    </w:rPr>
  </w:style>
  <w:style w:type="paragraph" w:styleId="a9">
    <w:name w:val="List Paragraph"/>
    <w:basedOn w:val="a"/>
    <w:uiPriority w:val="34"/>
    <w:qFormat/>
    <w:rsid w:val="00EE25E8"/>
    <w:pPr>
      <w:ind w:left="720"/>
      <w:contextualSpacing/>
    </w:pPr>
  </w:style>
  <w:style w:type="character" w:styleId="21">
    <w:name w:val="Intense Emphasis"/>
    <w:basedOn w:val="a0"/>
    <w:uiPriority w:val="21"/>
    <w:qFormat/>
    <w:rsid w:val="00EE25E8"/>
    <w:rPr>
      <w:i/>
      <w:iCs/>
      <w:color w:val="0F4761" w:themeColor="accent1" w:themeShade="BF"/>
    </w:rPr>
  </w:style>
  <w:style w:type="paragraph" w:styleId="22">
    <w:name w:val="Intense Quote"/>
    <w:basedOn w:val="a"/>
    <w:next w:val="a"/>
    <w:link w:val="23"/>
    <w:uiPriority w:val="30"/>
    <w:qFormat/>
    <w:rsid w:val="00EE2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E25E8"/>
    <w:rPr>
      <w:i/>
      <w:iCs/>
      <w:color w:val="0F4761" w:themeColor="accent1" w:themeShade="BF"/>
    </w:rPr>
  </w:style>
  <w:style w:type="character" w:styleId="24">
    <w:name w:val="Intense Reference"/>
    <w:basedOn w:val="a0"/>
    <w:uiPriority w:val="32"/>
    <w:qFormat/>
    <w:rsid w:val="00EE25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柊子 馬本</dc:creator>
  <cp:keywords/>
  <dc:description/>
  <cp:lastModifiedBy>柊子 馬本</cp:lastModifiedBy>
  <cp:revision>2</cp:revision>
  <dcterms:created xsi:type="dcterms:W3CDTF">2026-08-22T04:25:00Z</dcterms:created>
  <dcterms:modified xsi:type="dcterms:W3CDTF">2026-08-23T13:56:00Z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daa98668-1638-42dc-838c-09254ec0e367</vt:lpwstr>
  </property>
</Properties>
</file>